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12</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1-23</w:t>
      </w:r>
      <w:r>
        <w:rPr>
          <w:rFonts w:hint="eastAsia" w:ascii="Arial" w:hAnsi="Arial" w:cs="Arial"/>
          <w:b/>
          <w:bCs/>
          <w:sz w:val="28"/>
          <w:szCs w:val="24"/>
          <w:lang w:val="en-US" w:eastAsia="zh-CN"/>
        </w:rPr>
        <w:t>01309</w:t>
      </w:r>
    </w:p>
    <w:p>
      <w:pPr>
        <w:tabs>
          <w:tab w:val="center" w:pos="4536"/>
          <w:tab w:val="right" w:pos="9072"/>
        </w:tabs>
        <w:spacing w:before="0" w:beforeLines="0" w:after="0" w:afterLines="0" w:line="360" w:lineRule="auto"/>
        <w:rPr>
          <w:sz w:val="24"/>
          <w:szCs w:val="24"/>
          <w:lang w:eastAsia="zh-CN"/>
        </w:rPr>
      </w:pPr>
      <w:r>
        <w:rPr>
          <w:rFonts w:ascii="Arial" w:hAnsi="Arial" w:eastAsia="MS Mincho" w:cs="Arial"/>
          <w:b/>
          <w:bCs/>
          <w:sz w:val="28"/>
          <w:lang w:eastAsia="ja-JP"/>
        </w:rPr>
        <w:t xml:space="preserve">Athens, Greece, February 27th – March 3rd, 2023 </w:t>
      </w:r>
    </w:p>
    <w:p>
      <w:pPr>
        <w:pStyle w:val="21"/>
        <w:spacing w:before="0" w:beforeLines="0" w:after="0" w:afterLines="0" w:line="360" w:lineRule="auto"/>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21"/>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21"/>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0" w:after="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98e</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 xml:space="preserve">meeting, </w:t>
      </w:r>
      <w:r>
        <w:rPr>
          <w:rFonts w:hint="eastAsia" w:cs="Times New Roman"/>
          <w:sz w:val="20"/>
          <w:szCs w:val="20"/>
          <w:lang w:val="en-US" w:eastAsia="zh-CN"/>
        </w:rPr>
        <w:t xml:space="preserve">the following </w:t>
      </w:r>
      <w:r>
        <w:rPr>
          <w:rFonts w:hint="eastAsia"/>
          <w:lang w:val="en-US" w:eastAsia="zh-CN"/>
        </w:rPr>
        <w:t>WID</w:t>
      </w:r>
      <w:r>
        <w:rPr>
          <w:rFonts w:hint="eastAsia" w:cs="Times New Roman"/>
          <w:sz w:val="20"/>
          <w:szCs w:val="20"/>
          <w:lang w:val="en-US" w:eastAsia="zh-CN"/>
        </w:rPr>
        <w:t xml:space="preserve"> were approved[1]</w:t>
      </w:r>
      <w:r>
        <w:rPr>
          <w:rFonts w:hint="eastAsia" w:ascii="Times New Roman" w:hAnsi="Times New Roman" w:cs="Times New Roman"/>
          <w:sz w:val="20"/>
          <w:szCs w:val="20"/>
          <w:lang w:val="en-US" w:eastAsia="zh-CN"/>
        </w:rPr>
        <w:t>:</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8"/>
              <w:numPr>
                <w:ilvl w:val="-1"/>
                <w:numId w:val="0"/>
              </w:numPr>
              <w:overflowPunct w:val="0"/>
              <w:autoSpaceDE w:val="0"/>
              <w:autoSpaceDN w:val="0"/>
              <w:adjustRightInd w:val="0"/>
              <w:spacing w:before="0" w:beforeLines="0" w:after="0" w:afterLines="0" w:line="360" w:lineRule="auto"/>
              <w:ind w:left="-60" w:right="-99" w:firstLine="0"/>
              <w:textAlignment w:val="baseline"/>
              <w:rPr>
                <w:lang w:eastAsia="ja-JP"/>
              </w:rPr>
            </w:pPr>
            <w:r>
              <w:rPr>
                <w:b/>
                <w:bCs/>
                <w:lang w:eastAsia="ja-JP"/>
              </w:rPr>
              <w:t>Complexity/cost reduction</w:t>
            </w:r>
          </w:p>
          <w:p>
            <w:pPr>
              <w:pStyle w:val="28"/>
              <w:numPr>
                <w:ilvl w:val="0"/>
                <w:numId w:val="2"/>
              </w:numPr>
              <w:overflowPunct w:val="0"/>
              <w:autoSpaceDE w:val="0"/>
              <w:autoSpaceDN w:val="0"/>
              <w:adjustRightInd w:val="0"/>
              <w:spacing w:before="0" w:beforeLines="0" w:after="0" w:afterLines="0" w:line="360" w:lineRule="auto"/>
              <w:ind w:right="-99"/>
              <w:textAlignment w:val="baseline"/>
              <w:rPr>
                <w:lang w:eastAsia="ja-JP"/>
              </w:rPr>
            </w:pPr>
            <w:r>
              <w:rPr>
                <w:lang w:eastAsia="ja-JP"/>
              </w:rPr>
              <w:t>Further reduced UE complexity in FR1 [RAN1, RAN2, RAN4]</w:t>
            </w:r>
          </w:p>
          <w:p>
            <w:pPr>
              <w:pStyle w:val="28"/>
              <w:numPr>
                <w:ilvl w:val="1"/>
                <w:numId w:val="2"/>
              </w:numPr>
              <w:overflowPunct w:val="0"/>
              <w:autoSpaceDE w:val="0"/>
              <w:autoSpaceDN w:val="0"/>
              <w:adjustRightInd w:val="0"/>
              <w:spacing w:before="0" w:beforeLines="0" w:after="0" w:afterLines="0" w:line="360" w:lineRule="auto"/>
              <w:ind w:left="1020" w:hanging="360"/>
              <w:textAlignment w:val="baseline"/>
              <w:rPr>
                <w:lang w:val="en-US"/>
              </w:rPr>
            </w:pPr>
            <w:r>
              <w:rPr>
                <w:lang w:val="en-US"/>
              </w:rPr>
              <w:t>UE BB bandwidth reduction</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5 MHz BB bandwidth only for PDSCH (for both unicast and broadcast) and PUSCH, with 20 MHz RF bandwidth for UL and DL</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The other physical channels and signals are still allowed to use a BWP up to the 20 MHz maximum UE RF+BB bandwidth.</w:t>
            </w:r>
          </w:p>
          <w:p>
            <w:pPr>
              <w:pStyle w:val="28"/>
              <w:numPr>
                <w:ilvl w:val="2"/>
                <w:numId w:val="2"/>
              </w:numPr>
              <w:overflowPunct w:val="0"/>
              <w:autoSpaceDE w:val="0"/>
              <w:autoSpaceDN w:val="0"/>
              <w:adjustRightInd w:val="0"/>
              <w:spacing w:before="0" w:beforeLines="0" w:after="0" w:afterLines="0" w:line="360" w:lineRule="auto"/>
              <w:ind w:left="1740" w:right="-99" w:hanging="360"/>
              <w:textAlignment w:val="baseline"/>
              <w:rPr>
                <w:lang w:eastAsia="ja-JP"/>
              </w:rPr>
            </w:pPr>
            <w:r>
              <w:rPr>
                <w:lang w:eastAsia="ja-JP"/>
              </w:rPr>
              <w:t>Support additional separate early indication(s) [RAN1, RAN2]</w:t>
            </w:r>
          </w:p>
          <w:p>
            <w:pPr>
              <w:pStyle w:val="28"/>
              <w:numPr>
                <w:ilvl w:val="1"/>
                <w:numId w:val="2"/>
              </w:numPr>
              <w:overflowPunct w:val="0"/>
              <w:autoSpaceDE w:val="0"/>
              <w:autoSpaceDN w:val="0"/>
              <w:adjustRightInd w:val="0"/>
              <w:spacing w:before="0" w:beforeLines="0" w:after="0" w:afterLines="0" w:line="360" w:lineRule="auto"/>
              <w:ind w:left="1020" w:right="-99" w:hanging="360"/>
              <w:textAlignment w:val="baseline"/>
              <w:rPr>
                <w:lang w:eastAsia="ja-JP"/>
              </w:rPr>
            </w:pPr>
            <w:r>
              <w:rPr>
                <w:lang w:eastAsia="ja-JP"/>
              </w:rPr>
              <w:t>UE peak data rate reduction</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The relaxed constraint is, e.g., 1 (instead of 4).</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28"/>
              <w:numPr>
                <w:ilvl w:val="1"/>
                <w:numId w:val="2"/>
              </w:numPr>
              <w:overflowPunct w:val="0"/>
              <w:autoSpaceDE w:val="0"/>
              <w:autoSpaceDN w:val="0"/>
              <w:adjustRightInd w:val="0"/>
              <w:spacing w:before="0" w:beforeLines="0" w:after="0" w:afterLines="0" w:line="360" w:lineRule="auto"/>
              <w:ind w:left="1020"/>
              <w:textAlignment w:val="baseline"/>
              <w:rPr>
                <w:lang w:val="en-US" w:eastAsia="ja-JP"/>
              </w:rPr>
            </w:pPr>
            <w:r>
              <w:rPr>
                <w:lang w:val="en-US" w:eastAsia="ja-JP"/>
              </w:rPr>
              <w:t>Both 15 kHz SCS and 30 kHz SCS are supported.</w:t>
            </w:r>
          </w:p>
          <w:p>
            <w:pPr>
              <w:pStyle w:val="28"/>
              <w:numPr>
                <w:ilvl w:val="1"/>
                <w:numId w:val="2"/>
              </w:numPr>
              <w:overflowPunct w:val="0"/>
              <w:autoSpaceDE w:val="0"/>
              <w:autoSpaceDN w:val="0"/>
              <w:adjustRightInd w:val="0"/>
              <w:spacing w:before="0" w:beforeLines="0" w:after="0" w:afterLines="0" w:line="360" w:lineRule="auto"/>
              <w:ind w:left="1020"/>
              <w:textAlignment w:val="baseline"/>
              <w:rPr>
                <w:lang w:val="en-US" w:eastAsia="ja-JP"/>
              </w:rPr>
            </w:pPr>
            <w:r>
              <w:rPr>
                <w:lang w:val="en-US" w:eastAsia="ja-JP"/>
              </w:rPr>
              <w:t>Aim to define at most one Rel-18 RedCap UE type for further UE complexity reduction.</w:t>
            </w:r>
          </w:p>
          <w:p>
            <w:pPr>
              <w:pStyle w:val="28"/>
              <w:numPr>
                <w:ilvl w:val="1"/>
                <w:numId w:val="2"/>
              </w:numPr>
              <w:overflowPunct w:val="0"/>
              <w:autoSpaceDE w:val="0"/>
              <w:autoSpaceDN w:val="0"/>
              <w:adjustRightInd w:val="0"/>
              <w:spacing w:before="0" w:beforeLines="0" w:after="0" w:afterLines="0" w:line="360" w:lineRule="auto"/>
              <w:ind w:left="1020" w:right="-99" w:hanging="360"/>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pStyle w:val="28"/>
              <w:numPr>
                <w:ilvl w:val="-1"/>
                <w:numId w:val="0"/>
              </w:numPr>
              <w:overflowPunct w:val="0"/>
              <w:autoSpaceDE w:val="0"/>
              <w:autoSpaceDN w:val="0"/>
              <w:adjustRightInd w:val="0"/>
              <w:spacing w:before="0" w:beforeLines="0" w:after="0" w:afterLines="0" w:line="360" w:lineRule="auto"/>
              <w:ind w:left="-60" w:firstLine="0"/>
              <w:textAlignment w:val="baseline"/>
              <w:rPr>
                <w:lang w:val="en-US" w:eastAsia="ja-JP"/>
              </w:rPr>
            </w:pPr>
            <w:r>
              <w:rPr>
                <w:lang w:val="en-US" w:eastAsia="ja-JP"/>
              </w:rPr>
              <w:t>Notes:</w:t>
            </w:r>
          </w:p>
          <w:p>
            <w:pPr>
              <w:pStyle w:val="28"/>
              <w:numPr>
                <w:ilvl w:val="0"/>
                <w:numId w:val="3"/>
              </w:numPr>
              <w:overflowPunct w:val="0"/>
              <w:autoSpaceDE w:val="0"/>
              <w:autoSpaceDN w:val="0"/>
              <w:adjustRightInd w:val="0"/>
              <w:spacing w:before="0" w:beforeLines="0" w:after="0" w:afterLines="0" w:line="360" w:lineRule="auto"/>
              <w:ind w:left="840" w:hanging="420"/>
              <w:textAlignment w:val="baseline"/>
              <w:rPr>
                <w:lang w:val="en-US" w:eastAsia="ja-JP"/>
              </w:rPr>
            </w:pPr>
            <w:r>
              <w:rPr>
                <w:lang w:val="en-US" w:eastAsia="ja-JP"/>
              </w:rPr>
              <w:t>The work defined as part of this WI is not to overlap with LPWA use cases.</w:t>
            </w:r>
          </w:p>
          <w:p>
            <w:pPr>
              <w:pStyle w:val="28"/>
              <w:numPr>
                <w:ilvl w:val="0"/>
                <w:numId w:val="3"/>
              </w:numPr>
              <w:overflowPunct w:val="0"/>
              <w:autoSpaceDE w:val="0"/>
              <w:autoSpaceDN w:val="0"/>
              <w:adjustRightInd w:val="0"/>
              <w:spacing w:before="0" w:beforeLines="0" w:after="0" w:afterLines="0" w:line="360" w:lineRule="auto"/>
              <w:ind w:left="840" w:hanging="420"/>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pPr>
              <w:pStyle w:val="28"/>
              <w:numPr>
                <w:ilvl w:val="0"/>
                <w:numId w:val="3"/>
              </w:numPr>
              <w:overflowPunct w:val="0"/>
              <w:autoSpaceDE w:val="0"/>
              <w:autoSpaceDN w:val="0"/>
              <w:adjustRightInd w:val="0"/>
              <w:spacing w:before="0" w:beforeLines="0" w:after="0" w:afterLines="0" w:line="360" w:lineRule="auto"/>
              <w:ind w:left="840" w:hanging="420"/>
              <w:textAlignment w:val="baseline"/>
              <w:rPr>
                <w:lang w:val="en-US" w:eastAsia="ja-JP"/>
              </w:rPr>
            </w:pPr>
            <w:r>
              <w:rPr>
                <w:lang w:val="en-US" w:eastAsia="ja-JP"/>
              </w:rPr>
              <w:t>This WI considers all applicable duplex modes unless otherwise specified.</w:t>
            </w:r>
          </w:p>
          <w:p>
            <w:pPr>
              <w:pStyle w:val="28"/>
              <w:numPr>
                <w:ilvl w:val="-1"/>
                <w:numId w:val="0"/>
              </w:numPr>
              <w:overflowPunct w:val="0"/>
              <w:autoSpaceDE w:val="0"/>
              <w:autoSpaceDN w:val="0"/>
              <w:adjustRightInd w:val="0"/>
              <w:spacing w:before="0" w:beforeLines="0" w:after="0" w:afterLines="0" w:line="360" w:lineRule="auto"/>
              <w:ind w:left="0" w:firstLine="0"/>
              <w:textAlignment w:val="baseline"/>
              <w:rPr>
                <w:lang w:val="en-US" w:eastAsia="ja-JP"/>
              </w:rPr>
            </w:pPr>
            <w:r>
              <w:rPr>
                <w:lang w:val="en-US" w:eastAsia="ja-JP"/>
              </w:rPr>
              <w:t>Check in RAN#99 regarding:</w:t>
            </w:r>
          </w:p>
          <w:p>
            <w:pPr>
              <w:pStyle w:val="28"/>
              <w:numPr>
                <w:ilvl w:val="0"/>
                <w:numId w:val="4"/>
              </w:numPr>
              <w:overflowPunct w:val="0"/>
              <w:autoSpaceDE w:val="0"/>
              <w:autoSpaceDN w:val="0"/>
              <w:adjustRightInd w:val="0"/>
              <w:spacing w:before="0" w:beforeLines="0" w:after="0" w:afterLines="0" w:line="360" w:lineRule="auto"/>
              <w:ind w:left="840" w:hanging="420"/>
              <w:textAlignment w:val="baseline"/>
              <w:rPr>
                <w:vertAlign w:val="baseline"/>
                <w:lang w:eastAsia="ja-JP"/>
              </w:rPr>
            </w:pPr>
            <w:r>
              <w:rPr>
                <w:lang w:val="en-US" w:eastAsia="ja-JP"/>
              </w:rPr>
              <w:t>Whether UE peak data rate reduction for UE is limited only with UE BB bandwidth reduction or standalone</w:t>
            </w:r>
            <w:r>
              <w:rPr>
                <w:rFonts w:hint="default"/>
                <w:lang w:val="en-US" w:eastAsia="ja-JP"/>
              </w:rPr>
              <w:t>.</w:t>
            </w:r>
          </w:p>
        </w:tc>
      </w:tr>
    </w:tbl>
    <w:p>
      <w:pPr>
        <w:spacing w:before="0" w:beforeLines="0" w:after="0" w:afterLines="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In this contribution, the UE complexity/cost reduction feature</w:t>
      </w:r>
      <w:r>
        <w:rPr>
          <w:rFonts w:hint="eastAsia" w:cs="Times New Roman"/>
          <w:sz w:val="20"/>
          <w:szCs w:val="20"/>
          <w:lang w:val="en-US" w:eastAsia="ja-JP"/>
        </w:rPr>
        <w:t xml:space="preserve"> </w:t>
      </w:r>
      <w:r>
        <w:rPr>
          <w:rFonts w:hint="eastAsia" w:ascii="Times New Roman" w:hAnsi="Times New Roman" w:cs="Times New Roman"/>
          <w:sz w:val="20"/>
          <w:szCs w:val="20"/>
          <w:lang w:val="en-US" w:eastAsia="ja-JP"/>
        </w:rPr>
        <w:t xml:space="preserve">will be </w:t>
      </w:r>
      <w:r>
        <w:rPr>
          <w:rFonts w:hint="eastAsia" w:cs="Times New Roman"/>
          <w:sz w:val="20"/>
          <w:szCs w:val="20"/>
          <w:lang w:val="en-US" w:eastAsia="ja-JP"/>
        </w:rPr>
        <w:t>discussed</w:t>
      </w:r>
      <w:r>
        <w:rPr>
          <w:rFonts w:hint="eastAsia" w:ascii="Times New Roman" w:hAnsi="Times New Roman" w:cs="Times New Roman"/>
          <w:sz w:val="20"/>
          <w:szCs w:val="20"/>
          <w:lang w:val="en-US" w:eastAsia="ja-JP"/>
        </w:rPr>
        <w:t>.</w:t>
      </w:r>
    </w:p>
    <w:p>
      <w:pPr>
        <w:pStyle w:val="2"/>
        <w:spacing w:before="240" w:beforeLines="0" w:after="180" w:afterLines="0" w:line="24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240" w:after="180" w:line="240" w:lineRule="auto"/>
        <w:ind w:left="573" w:hanging="573"/>
        <w:rPr>
          <w:rFonts w:hint="default"/>
          <w:b w:val="0"/>
          <w:bCs w:val="0"/>
          <w:lang w:val="en-US" w:eastAsia="zh-CN"/>
        </w:rPr>
      </w:pPr>
      <w:r>
        <w:rPr>
          <w:rFonts w:hint="default"/>
          <w:b w:val="0"/>
          <w:bCs w:val="0"/>
          <w:lang w:val="en-US" w:eastAsia="zh-CN"/>
        </w:rPr>
        <w:t>UE BB bandwidth reduction</w:t>
      </w:r>
    </w:p>
    <w:p>
      <w:pPr>
        <w:pStyle w:val="4"/>
        <w:spacing w:before="240" w:after="180" w:line="240" w:lineRule="auto"/>
        <w:rPr>
          <w:rFonts w:hint="default"/>
          <w:b w:val="0"/>
          <w:bCs w:val="0"/>
          <w:szCs w:val="32"/>
          <w:lang w:val="en-US" w:eastAsia="zh-CN"/>
        </w:rPr>
      </w:pPr>
      <w:r>
        <w:rPr>
          <w:rFonts w:hint="default"/>
          <w:b w:val="0"/>
          <w:bCs w:val="0"/>
          <w:szCs w:val="32"/>
          <w:lang w:val="en-US" w:eastAsia="zh-CN"/>
        </w:rPr>
        <w:t>Maximum number of PRBs</w:t>
      </w:r>
    </w:p>
    <w:p>
      <w:pPr>
        <w:spacing w:before="0" w:beforeLines="0" w:after="0" w:afterLines="0" w:line="360" w:lineRule="auto"/>
        <w:jc w:val="both"/>
        <w:rPr>
          <w:rFonts w:hint="default"/>
          <w:lang w:val="en-US" w:eastAsia="zh-CN"/>
        </w:rPr>
      </w:pPr>
      <w:r>
        <w:rPr>
          <w:rFonts w:hint="eastAsia"/>
          <w:lang w:val="en-US" w:eastAsia="zh-CN"/>
        </w:rPr>
        <w:t>For UE BB bandwidth reduction, the following agreement were reached in RAN1#111 meeting[2].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trPr>
        <w:tc>
          <w:tcPr>
            <w:tcW w:w="9855" w:type="dxa"/>
          </w:tcPr>
          <w:p>
            <w:pPr>
              <w:overflowPunct w:val="0"/>
              <w:autoSpaceDE w:val="0"/>
              <w:autoSpaceDN w:val="0"/>
              <w:adjustRightInd w:val="0"/>
              <w:spacing w:before="0" w:beforeLines="0" w:after="0" w:afterLines="0" w:line="360" w:lineRule="auto"/>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For UE BB bandwidth reduction, for PUSCH, down-select between the following options for the maximum number of PRBs that the UE can transmit per slot or per hop, if applicable:</w:t>
            </w:r>
          </w:p>
          <w:p>
            <w:pPr>
              <w:numPr>
                <w:ilvl w:val="0"/>
                <w:numId w:val="5"/>
              </w:num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5"/>
              </w:num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For UE BB bandwidth reduction, for PDSCH (for both unicast and broadcast), down-select between the following options for the maximum number of PRBs that the UE can process per slot:</w:t>
            </w:r>
          </w:p>
          <w:p>
            <w:pPr>
              <w:numPr>
                <w:ilvl w:val="0"/>
                <w:numId w:val="6"/>
              </w:num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6"/>
              </w:numPr>
              <w:overflowPunct w:val="0"/>
              <w:autoSpaceDE w:val="0"/>
              <w:autoSpaceDN w:val="0"/>
              <w:adjustRightInd w:val="0"/>
              <w:spacing w:before="0" w:beforeLines="0" w:after="0" w:afterLines="0" w:line="360" w:lineRule="auto"/>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numPr>
                <w:ilvl w:val="-1"/>
                <w:numId w:val="0"/>
              </w:numPr>
              <w:overflowPunct w:val="0"/>
              <w:autoSpaceDE w:val="0"/>
              <w:autoSpaceDN w:val="0"/>
              <w:adjustRightInd w:val="0"/>
              <w:spacing w:before="0" w:beforeLines="0" w:after="0" w:afterLines="0" w:line="360" w:lineRule="auto"/>
              <w:ind w:left="0" w:firstLine="0"/>
              <w:textAlignment w:val="baseline"/>
              <w:rPr>
                <w:rFonts w:ascii="Times New Roman" w:hAnsi="Times New Roman"/>
                <w:bCs/>
                <w:szCs w:val="20"/>
                <w:lang w:val="en-US"/>
              </w:rPr>
            </w:pPr>
            <w:r>
              <w:rPr>
                <w:rFonts w:ascii="Times New Roman" w:hAnsi="Times New Roman"/>
                <w:bCs/>
                <w:szCs w:val="20"/>
                <w:lang w:val="en-US"/>
              </w:rPr>
              <w:t>Same option will be selected for both PDSCH and PUSCH.</w:t>
            </w:r>
          </w:p>
          <w:p>
            <w:pPr>
              <w:overflowPunct w:val="0"/>
              <w:autoSpaceDE w:val="0"/>
              <w:autoSpaceDN w:val="0"/>
              <w:adjustRightInd w:val="0"/>
              <w:spacing w:before="0" w:beforeLines="0" w:after="0" w:afterLines="0" w:line="360" w:lineRule="auto"/>
              <w:jc w:val="both"/>
              <w:textAlignment w:val="baseline"/>
              <w:rPr>
                <w:rFonts w:hint="default"/>
                <w:vertAlign w:val="baseline"/>
                <w:lang w:val="en-US" w:eastAsia="zh-CN"/>
              </w:rPr>
            </w:pPr>
          </w:p>
        </w:tc>
      </w:tr>
    </w:tbl>
    <w:p>
      <w:pPr>
        <w:spacing w:before="0" w:beforeLines="0" w:after="0" w:afterLines="0" w:line="360" w:lineRule="auto"/>
        <w:jc w:val="both"/>
        <w:rPr>
          <w:rFonts w:hint="eastAsia"/>
          <w:lang w:val="en-US" w:eastAsia="zh-CN"/>
        </w:rPr>
      </w:pPr>
      <w:r>
        <w:rPr>
          <w:rFonts w:hint="eastAsia"/>
          <w:lang w:val="en-US" w:eastAsia="zh-CN"/>
        </w:rPr>
        <w:t>First, from our point of view, in order to better reduce the implementation complexity, 5MHz PDSCH and 5MHz PUSCH should be configured with the same maximum number of PRBs. Second, since the size of one CCE is 6 RBs, 12 RBs are more suitable for CORESET resource allocation than 11 RBs. In addition, compared with 11RB, 12RB can better meet the current PRACH frequency domain resource allocation requirements. Therefore, option 3 is more suitable for 5MHz PDSCH and 5MHz PUSCH.</w:t>
      </w:r>
    </w:p>
    <w:p>
      <w:pPr>
        <w:spacing w:before="0" w:beforeLines="0" w:after="0" w:afterLines="0" w:line="360" w:lineRule="auto"/>
        <w:jc w:val="both"/>
        <w:rPr>
          <w:rFonts w:hint="eastAsia"/>
          <w:b/>
          <w:szCs w:val="22"/>
          <w:lang w:val="en-US" w:eastAsia="zh-CN"/>
        </w:rPr>
      </w:pPr>
      <w:r>
        <w:rPr>
          <w:rFonts w:hint="default"/>
          <w:b/>
          <w:szCs w:val="22"/>
          <w:lang w:val="en-US" w:eastAsia="zh-CN"/>
        </w:rPr>
        <w:t xml:space="preserve">Proposal </w:t>
      </w:r>
      <w:r>
        <w:rPr>
          <w:rFonts w:hint="eastAsia"/>
          <w:b/>
          <w:szCs w:val="22"/>
          <w:lang w:val="en-US" w:eastAsia="zh-CN"/>
        </w:rPr>
        <w:t>1  The maximum number of PRBs in Option 3 is more preferred for PUSCH and PDSCH.</w:t>
      </w:r>
    </w:p>
    <w:p>
      <w:pPr>
        <w:pStyle w:val="4"/>
        <w:spacing w:before="240" w:after="180" w:line="240" w:lineRule="auto"/>
        <w:rPr>
          <w:rFonts w:hint="default"/>
          <w:b w:val="0"/>
          <w:bCs w:val="0"/>
          <w:lang w:val="en-US" w:eastAsia="zh-CN"/>
        </w:rPr>
      </w:pPr>
      <w:r>
        <w:rPr>
          <w:rFonts w:hint="default"/>
          <w:b w:val="0"/>
          <w:bCs w:val="0"/>
          <w:lang w:val="en-US" w:eastAsia="zh-CN"/>
        </w:rPr>
        <w:t>Early indication</w:t>
      </w:r>
    </w:p>
    <w:p>
      <w:pPr>
        <w:spacing w:before="0" w:beforeLines="0" w:after="0" w:afterLines="0" w:line="360" w:lineRule="auto"/>
        <w:jc w:val="both"/>
        <w:rPr>
          <w:rFonts w:hint="eastAsia"/>
          <w:lang w:val="en-US" w:eastAsia="zh-CN"/>
        </w:rPr>
      </w:pPr>
      <w:r>
        <w:rPr>
          <w:rFonts w:hint="eastAsia"/>
          <w:lang w:val="en-US" w:eastAsia="zh-CN"/>
        </w:rPr>
        <w:t>Early Indication was introduced in R17 and is mainly used for network to identify Redcap UE type. If there is no early indication of RedCap UEs, legacy UEs and RedCap UEs will be considered the same by the network, which may lead to conservative treatment of all UEs. Similarly, since the maximum BB bandwidth supported by PDSCH/PUSCH of R17 Redcap UE and R18 eRedcap UE is different, if the earlier indication of R17 continues to be reused, the network will schedule R17 Redcap UE and R18 eRedcap UE according to the maximum BB bandwidth supported by R18 eRedcap UE, which is inappropriate and unfair for R17 Redcap UE.</w:t>
      </w:r>
    </w:p>
    <w:p>
      <w:pPr>
        <w:spacing w:before="0" w:beforeLines="0" w:after="0" w:afterLines="0" w:line="360" w:lineRule="auto"/>
        <w:jc w:val="both"/>
        <w:rPr>
          <w:rFonts w:hint="default"/>
          <w:lang w:val="en-US" w:eastAsia="zh-CN"/>
        </w:rPr>
      </w:pPr>
      <w:r>
        <w:rPr>
          <w:rFonts w:hint="default"/>
          <w:lang w:val="en-US" w:eastAsia="zh-CN"/>
        </w:rPr>
        <w:t>Further, since the early indication of the existing R17 Redcap is through Msg</w:t>
      </w:r>
      <w:r>
        <w:rPr>
          <w:rFonts w:hint="eastAsia"/>
          <w:lang w:val="en-US" w:eastAsia="zh-CN"/>
        </w:rPr>
        <w:t xml:space="preserve"> </w:t>
      </w:r>
      <w:r>
        <w:rPr>
          <w:rFonts w:hint="default"/>
          <w:lang w:val="en-US" w:eastAsia="zh-CN"/>
        </w:rPr>
        <w:t xml:space="preserve">1, if the R17 Redcap UE, R18 </w:t>
      </w:r>
      <w:r>
        <w:rPr>
          <w:rFonts w:hint="eastAsia"/>
          <w:lang w:val="en-US" w:eastAsia="zh-CN"/>
        </w:rPr>
        <w:t>e</w:t>
      </w:r>
      <w:r>
        <w:rPr>
          <w:rFonts w:hint="default"/>
          <w:lang w:val="en-US" w:eastAsia="zh-CN"/>
        </w:rPr>
        <w:t>Redcap UE and legacy UE are all identified by the preamble, the preamble sequence will be fragmented</w:t>
      </w:r>
      <w:r>
        <w:rPr>
          <w:rFonts w:hint="eastAsia"/>
          <w:lang w:val="en-US" w:eastAsia="zh-CN"/>
        </w:rPr>
        <w:t>.</w:t>
      </w:r>
      <w:r>
        <w:rPr>
          <w:rFonts w:hint="default"/>
          <w:lang w:val="en-US" w:eastAsia="zh-CN"/>
        </w:rPr>
        <w:t xml:space="preserve"> </w:t>
      </w:r>
      <w:r>
        <w:rPr>
          <w:rFonts w:hint="eastAsia"/>
          <w:lang w:val="en-US" w:eastAsia="zh-CN"/>
        </w:rPr>
        <w:t xml:space="preserve">Therefore, </w:t>
      </w:r>
      <w:r>
        <w:rPr>
          <w:rFonts w:hint="default"/>
          <w:lang w:val="en-US" w:eastAsia="zh-CN"/>
        </w:rPr>
        <w:t>a new early indication technology can be discussed.</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2  It is recommended to support </w:t>
      </w:r>
      <w:r>
        <w:rPr>
          <w:rFonts w:hint="eastAsia"/>
          <w:b/>
          <w:sz w:val="21"/>
          <w:szCs w:val="22"/>
          <w:lang w:val="en-US" w:eastAsia="ja-JP"/>
        </w:rPr>
        <w:t>a separate early indication</w:t>
      </w:r>
      <w:r>
        <w:rPr>
          <w:rFonts w:hint="eastAsia"/>
          <w:b/>
          <w:sz w:val="21"/>
          <w:szCs w:val="22"/>
          <w:lang w:val="en-US" w:eastAsia="zh-CN"/>
        </w:rPr>
        <w:t>.</w:t>
      </w:r>
    </w:p>
    <w:p>
      <w:pPr>
        <w:pStyle w:val="3"/>
        <w:spacing w:before="240" w:after="180" w:line="240" w:lineRule="auto"/>
        <w:rPr>
          <w:rFonts w:hint="eastAsia"/>
          <w:b w:val="0"/>
          <w:bCs w:val="0"/>
          <w:lang w:val="en-US" w:eastAsia="zh-CN"/>
        </w:rPr>
      </w:pPr>
      <w:r>
        <w:rPr>
          <w:rFonts w:hint="eastAsia"/>
          <w:b w:val="0"/>
          <w:bCs w:val="0"/>
          <w:lang w:val="en-US" w:eastAsia="zh-CN"/>
        </w:rPr>
        <w:t>UE peak data rate reduction</w:t>
      </w:r>
    </w:p>
    <w:p>
      <w:pPr>
        <w:spacing w:before="0" w:beforeLines="0" w:after="0" w:afterLines="0" w:line="360" w:lineRule="auto"/>
        <w:jc w:val="both"/>
        <w:rPr>
          <w:rFonts w:hint="eastAsia"/>
          <w:b w:val="0"/>
          <w:sz w:val="20"/>
          <w:szCs w:val="20"/>
          <w:lang w:val="en-US" w:eastAsia="zh-CN"/>
        </w:rPr>
      </w:pPr>
      <w:r>
        <w:rPr>
          <w:rFonts w:hint="eastAsia"/>
          <w:b w:val="0"/>
          <w:sz w:val="20"/>
          <w:szCs w:val="20"/>
          <w:lang w:val="en-US" w:eastAsia="zh-CN"/>
        </w:rPr>
        <w:t>In RAN1#111 meeting[2], the following agreement for UE peak data rate reduction was reached.</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spacing w:before="0" w:beforeLines="0" w:after="0" w:afterLines="0" w:line="360" w:lineRule="auto"/>
              <w:textAlignment w:val="baseline"/>
              <w:rPr>
                <w:rFonts w:ascii="Times New Roman" w:hAnsi="Times New Roman"/>
                <w:bCs/>
                <w:highlight w:val="green"/>
                <w:lang w:val="en-US"/>
              </w:rPr>
            </w:pPr>
            <w:r>
              <w:rPr>
                <w:rFonts w:ascii="Times New Roman" w:hAnsi="Times New Roman"/>
                <w:bCs/>
                <w:highlight w:val="green"/>
                <w:lang w:val="en-US"/>
              </w:rPr>
              <w:t>Agreement</w:t>
            </w:r>
          </w:p>
          <w:p>
            <w:pPr>
              <w:numPr>
                <w:ilvl w:val="0"/>
                <w:numId w:val="7"/>
              </w:numPr>
              <w:overflowPunct w:val="0"/>
              <w:autoSpaceDE w:val="0"/>
              <w:autoSpaceDN w:val="0"/>
              <w:adjustRightInd w:val="0"/>
              <w:spacing w:before="0" w:beforeLines="0" w:after="0" w:afterLines="0" w:line="360" w:lineRule="auto"/>
              <w:contextualSpacing/>
              <w:jc w:val="both"/>
              <w:textAlignment w:val="baseline"/>
              <w:rPr>
                <w:rFonts w:ascii="Times New Roman" w:hAnsi="Times New Roman"/>
                <w:bCs/>
                <w:szCs w:val="22"/>
                <w:lang w:val="en-US" w:eastAsia="zh-CN"/>
              </w:rPr>
            </w:pPr>
            <w:r>
              <w:rPr>
                <w:rFonts w:ascii="Times New Roman" w:hAnsi="Times New Roman"/>
                <w:bCs/>
                <w:szCs w:val="22"/>
                <w:lang w:val="en-US" w:eastAsia="zh-CN"/>
              </w:rPr>
              <w:t>The minimum DL peak rate target (for FD-FDD) is [10] Mbps based on peak data rate calculation according to 38.306.</w:t>
            </w:r>
          </w:p>
          <w:p>
            <w:pPr>
              <w:numPr>
                <w:ilvl w:val="0"/>
                <w:numId w:val="7"/>
              </w:numPr>
              <w:overflowPunct w:val="0"/>
              <w:autoSpaceDE w:val="0"/>
              <w:autoSpaceDN w:val="0"/>
              <w:adjustRightInd w:val="0"/>
              <w:spacing w:before="0" w:beforeLines="0" w:after="0" w:afterLines="0" w:line="360" w:lineRule="auto"/>
              <w:contextualSpacing/>
              <w:jc w:val="both"/>
              <w:textAlignment w:val="baseline"/>
              <w:rPr>
                <w:rFonts w:ascii="Times New Roman" w:hAnsi="Times New Roman"/>
                <w:bCs/>
                <w:szCs w:val="22"/>
                <w:lang w:val="en-US" w:eastAsia="zh-CN"/>
              </w:rPr>
            </w:pPr>
            <w:r>
              <w:rPr>
                <w:rFonts w:ascii="Times New Roman" w:hAnsi="Times New Roman"/>
                <w:bCs/>
                <w:szCs w:val="22"/>
                <w:lang w:val="en-US" w:eastAsia="zh-CN"/>
              </w:rPr>
              <w:t>The same value for X is used for DL and UL</w:t>
            </w:r>
          </w:p>
          <w:p>
            <w:pPr>
              <w:overflowPunct w:val="0"/>
              <w:autoSpaceDE w:val="0"/>
              <w:autoSpaceDN w:val="0"/>
              <w:adjustRightInd w:val="0"/>
              <w:spacing w:before="0" w:beforeLines="0" w:after="0" w:afterLines="0" w:line="360" w:lineRule="auto"/>
              <w:jc w:val="left"/>
              <w:textAlignment w:val="baseline"/>
              <w:rPr>
                <w:rFonts w:hint="default"/>
                <w:b w:val="0"/>
                <w:sz w:val="20"/>
                <w:szCs w:val="20"/>
                <w:vertAlign w:val="baseline"/>
                <w:lang w:val="en-US" w:eastAsia="zh-CN"/>
              </w:rPr>
            </w:pPr>
          </w:p>
        </w:tc>
      </w:tr>
    </w:tbl>
    <w:p>
      <w:pPr>
        <w:spacing w:before="0" w:beforeLines="0" w:after="0" w:afterLines="0" w:line="360" w:lineRule="auto"/>
        <w:jc w:val="both"/>
        <w:rPr>
          <w:rFonts w:hint="eastAsia"/>
          <w:b w:val="0"/>
          <w:sz w:val="20"/>
          <w:szCs w:val="20"/>
          <w:lang w:val="en-US" w:eastAsia="zh-CN"/>
        </w:rPr>
      </w:pPr>
      <w:r>
        <w:rPr>
          <w:rFonts w:hint="default"/>
          <w:b w:val="0"/>
          <w:sz w:val="20"/>
          <w:szCs w:val="20"/>
          <w:lang w:val="en-US" w:eastAsia="zh-CN"/>
        </w:rPr>
        <w:t>In other words, the minimum DL/UL peak rate (for FD-FDD) calculated from the relaxation of constraints should be 10 Mbps</w:t>
      </w:r>
      <w:r>
        <w:rPr>
          <w:rFonts w:hint="eastAsia"/>
          <w:b w:val="0"/>
          <w:sz w:val="20"/>
          <w:szCs w:val="20"/>
          <w:lang w:val="en-US" w:eastAsia="zh-CN"/>
        </w:rPr>
        <w:t>.</w:t>
      </w:r>
    </w:p>
    <w:p>
      <w:pPr>
        <w:spacing w:before="0" w:beforeLines="0" w:after="0" w:afterLines="0" w:line="360" w:lineRule="auto"/>
        <w:jc w:val="both"/>
        <w:rPr>
          <w:rFonts w:hint="default"/>
          <w:b w:val="0"/>
          <w:sz w:val="20"/>
          <w:szCs w:val="20"/>
          <w:lang w:val="en-US" w:eastAsia="zh-CN"/>
        </w:rPr>
      </w:pPr>
      <w:r>
        <w:rPr>
          <w:rFonts w:hint="default"/>
          <w:b w:val="0"/>
          <w:sz w:val="20"/>
          <w:szCs w:val="20"/>
          <w:lang w:val="en-US" w:eastAsia="zh-CN"/>
        </w:rPr>
        <w:t xml:space="preserve">In addition, RAN#98-e meeting also proposed to define </w:t>
      </w:r>
      <w:r>
        <w:rPr>
          <w:rFonts w:hint="eastAsia"/>
          <w:b w:val="0"/>
          <w:sz w:val="20"/>
          <w:szCs w:val="20"/>
          <w:lang w:val="en-US" w:eastAsia="zh-CN"/>
        </w:rPr>
        <w:t xml:space="preserve">the </w:t>
      </w:r>
      <w:r>
        <w:rPr>
          <w:rFonts w:hint="default"/>
          <w:b w:val="0"/>
          <w:sz w:val="20"/>
          <w:szCs w:val="20"/>
          <w:lang w:val="en-US" w:eastAsia="zh-CN"/>
        </w:rPr>
        <w:t>value for relax</w:t>
      </w:r>
      <w:r>
        <w:rPr>
          <w:rFonts w:hint="eastAsia"/>
          <w:b w:val="0"/>
          <w:sz w:val="20"/>
          <w:szCs w:val="20"/>
          <w:lang w:val="en-US" w:eastAsia="zh-CN"/>
        </w:rPr>
        <w:t>ed</w:t>
      </w:r>
      <w:r>
        <w:rPr>
          <w:rFonts w:hint="default"/>
          <w:b w:val="0"/>
          <w:sz w:val="20"/>
          <w:szCs w:val="20"/>
          <w:lang w:val="en-US" w:eastAsia="zh-CN"/>
        </w:rPr>
        <w:t xml:space="preserve"> constraint</w:t>
      </w:r>
      <w:r>
        <w:rPr>
          <w:rFonts w:hint="eastAsia"/>
          <w:b w:val="0"/>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28"/>
              <w:numPr>
                <w:ilvl w:val="1"/>
                <w:numId w:val="2"/>
              </w:numPr>
              <w:overflowPunct w:val="0"/>
              <w:autoSpaceDE w:val="0"/>
              <w:autoSpaceDN w:val="0"/>
              <w:adjustRightInd w:val="0"/>
              <w:spacing w:before="0" w:beforeLines="0" w:after="0" w:afterLines="0" w:line="360" w:lineRule="auto"/>
              <w:ind w:left="1020" w:right="-99" w:hanging="360"/>
              <w:textAlignment w:val="baseline"/>
              <w:rPr>
                <w:lang w:eastAsia="ja-JP"/>
              </w:rPr>
            </w:pPr>
            <w:r>
              <w:rPr>
                <w:lang w:eastAsia="ja-JP"/>
              </w:rPr>
              <w:t>UE peak data rate reduction</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The relaxed constraint is, e.g., 1 (instead of 4).</w:t>
            </w:r>
          </w:p>
          <w:p>
            <w:pPr>
              <w:pStyle w:val="28"/>
              <w:numPr>
                <w:ilvl w:val="2"/>
                <w:numId w:val="2"/>
              </w:numPr>
              <w:overflowPunct w:val="0"/>
              <w:autoSpaceDE w:val="0"/>
              <w:autoSpaceDN w:val="0"/>
              <w:adjustRightInd w:val="0"/>
              <w:spacing w:before="0" w:beforeLines="0" w:after="0" w:afterLines="0" w:line="360" w:lineRule="auto"/>
              <w:ind w:left="1740" w:hanging="360"/>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overflowPunct w:val="0"/>
              <w:autoSpaceDE w:val="0"/>
              <w:autoSpaceDN w:val="0"/>
              <w:adjustRightInd w:val="0"/>
              <w:spacing w:before="0" w:beforeLines="0" w:after="0" w:afterLines="0" w:line="360" w:lineRule="auto"/>
              <w:jc w:val="left"/>
              <w:textAlignment w:val="baseline"/>
              <w:rPr>
                <w:rFonts w:hint="eastAsia"/>
                <w:b w:val="0"/>
                <w:sz w:val="20"/>
                <w:szCs w:val="20"/>
                <w:vertAlign w:val="baseline"/>
                <w:lang w:val="en-US" w:eastAsia="zh-CN"/>
              </w:rPr>
            </w:pPr>
          </w:p>
        </w:tc>
      </w:tr>
    </w:tbl>
    <w:p>
      <w:pPr>
        <w:spacing w:before="0" w:beforeLines="0" w:after="0" w:afterLines="0" w:line="360" w:lineRule="auto"/>
        <w:jc w:val="both"/>
        <w:rPr>
          <w:rFonts w:hint="eastAsia"/>
          <w:b w:val="0"/>
          <w:sz w:val="20"/>
          <w:szCs w:val="20"/>
          <w:lang w:val="en-US" w:eastAsia="zh-CN"/>
        </w:rPr>
      </w:pPr>
      <w:r>
        <w:rPr>
          <w:rFonts w:hint="eastAsia"/>
          <w:b w:val="0"/>
          <w:sz w:val="20"/>
          <w:szCs w:val="20"/>
          <w:lang w:val="en-US" w:eastAsia="zh-CN"/>
        </w:rPr>
        <w:t>In fact, according to 38.306, the data rate is calculated as follows:</w:t>
      </w:r>
    </w:p>
    <w:p>
      <w:pPr>
        <w:spacing w:before="0" w:beforeLines="0" w:after="0" w:afterLines="0" w:line="360" w:lineRule="auto"/>
        <w:jc w:val="center"/>
      </w:pPr>
      <w:r>
        <w:object>
          <v:shape id="_x0000_i1025" o:spt="75" type="#_x0000_t75" style="height:34.5pt;width:33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spacing w:before="0" w:beforeLines="0" w:after="0" w:afterLines="0" w:line="360" w:lineRule="auto"/>
        <w:jc w:val="both"/>
        <w:rPr>
          <w:rFonts w:hint="eastAsia"/>
          <w:lang w:val="en-US" w:eastAsia="zh-CN"/>
        </w:rPr>
      </w:pPr>
      <w:r>
        <w:rPr>
          <w:lang w:eastAsia="zh-CN"/>
        </w:rPr>
        <w:t xml:space="preserve">where Rmax = 948/1024,  </w:t>
      </w:r>
      <w:r>
        <w:rPr>
          <w:position w:val="-24"/>
          <w:lang w:eastAsia="zh-CN"/>
        </w:rPr>
        <w:object>
          <v:shape id="_x0000_i1026" o:spt="75" type="#_x0000_t75" style="height:31.9pt;width:63.2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lang w:eastAsia="zh-CN"/>
        </w:rPr>
        <w:t xml:space="preserve"> </w:t>
      </w:r>
      <w:r>
        <w:rPr>
          <w:rFonts w:hint="eastAsia"/>
          <w:lang w:val="en-US" w:eastAsia="zh-CN"/>
        </w:rPr>
        <w:t>.</w:t>
      </w:r>
    </w:p>
    <w:p>
      <w:pPr>
        <w:spacing w:before="0" w:beforeLines="0" w:after="0" w:afterLines="0" w:line="360" w:lineRule="auto"/>
        <w:jc w:val="both"/>
        <w:rPr>
          <w:rFonts w:hint="eastAsia"/>
          <w:lang w:val="en-US" w:eastAsia="zh-CN"/>
        </w:rPr>
      </w:pPr>
      <w:r>
        <w:rPr>
          <w:rFonts w:hint="eastAsia"/>
          <w:lang w:val="en-US" w:eastAsia="zh-CN"/>
        </w:rPr>
        <w:t xml:space="preserve">If UE peak data rate reduction is an add-on technique to UE BB bandwidth reduction, the relationship between DL data rate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 xml:space="preserve"> </w:t>
      </w:r>
      <w:r>
        <w:rPr>
          <w:rFonts w:hint="eastAsia"/>
          <w:lang w:val="en-US" w:eastAsia="zh-CN"/>
        </w:rPr>
        <w:t xml:space="preserve">is in the Table 1 </w:t>
      </w:r>
    </w:p>
    <w:p>
      <w:pPr>
        <w:spacing w:before="0" w:beforeLines="0" w:after="0" w:afterLines="0" w:line="360" w:lineRule="auto"/>
        <w:jc w:val="center"/>
        <w:rPr>
          <w:rFonts w:hint="default"/>
          <w:lang w:val="en-US" w:eastAsia="zh-CN"/>
        </w:rPr>
      </w:pPr>
      <w:r>
        <w:rPr>
          <w:rFonts w:hint="eastAsia"/>
          <w:lang w:val="en-US" w:eastAsia="zh-CN"/>
        </w:rPr>
        <w:t>Table 1</w:t>
      </w:r>
    </w:p>
    <w:tbl>
      <w:tblPr>
        <w:tblStyle w:val="18"/>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7"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lang w:val="en-US" w:eastAsia="zh-CN"/>
              </w:rPr>
              <w:t>=</w:t>
            </w:r>
            <w:r>
              <w:rPr>
                <w:rFonts w:hint="eastAsia"/>
                <w:vertAlign w:val="baseline"/>
                <w:lang w:val="en-US" w:eastAsia="zh-CN"/>
              </w:rPr>
              <w:t>25 for 15KHz</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8"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2">
                  <o:LockedField>false</o:LockedField>
                </o:OLEObject>
              </w:object>
            </w:r>
            <w:r>
              <w:rPr>
                <w:rFonts w:hint="eastAsia"/>
                <w:lang w:val="en-US" w:eastAsia="zh-CN"/>
              </w:rPr>
              <w:t>=</w:t>
            </w:r>
            <w:r>
              <w:rPr>
                <w:rFonts w:hint="eastAsia"/>
                <w:vertAlign w:val="baseline"/>
                <w:lang w:val="en-US" w:eastAsia="zh-CN"/>
              </w:rPr>
              <w:t>11 for 30KHz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t xml:space="preserve">maximum RB allocation </w:t>
            </w:r>
            <w:r>
              <w:object>
                <v:shape id="_x0000_i1029"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3">
                  <o:LockedField>false</o:LockedField>
                </o:OLEObject>
              </w:object>
            </w:r>
            <w:r>
              <w:rPr>
                <w:rFonts w:hint="eastAsia"/>
                <w:lang w:val="en-US" w:eastAsia="zh-CN"/>
              </w:rPr>
              <w:t>=</w:t>
            </w:r>
            <w:r>
              <w:rPr>
                <w:rFonts w:hint="eastAsia"/>
                <w:vertAlign w:val="baseline"/>
                <w:lang w:val="en-US" w:eastAsia="zh-CN"/>
              </w:rPr>
              <w:t>12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=2</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6.7MHz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5.9MHz</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=2</w:t>
            </w:r>
          </w:p>
        </w:tc>
        <w:tc>
          <w:tcPr>
            <w:tcW w:w="2463" w:type="dxa"/>
          </w:tcPr>
          <w:p>
            <w:pPr>
              <w:overflowPunct w:val="0"/>
              <w:autoSpaceDE w:val="0"/>
              <w:autoSpaceDN w:val="0"/>
              <w:adjustRightInd w:val="0"/>
              <w:spacing w:before="0" w:beforeLines="0" w:after="0" w:afterLines="0" w:line="360" w:lineRule="auto"/>
              <w:textAlignment w:val="baseline"/>
              <w:rPr>
                <w:vertAlign w:val="baseline"/>
                <w:lang w:eastAsia="ja-JP"/>
              </w:rPr>
            </w:pPr>
            <w:r>
              <w:rPr>
                <w:rFonts w:hint="eastAsia"/>
                <w:vertAlign w:val="baseline"/>
                <w:lang w:val="en-US" w:eastAsia="zh-CN"/>
              </w:rPr>
              <w:t>DL data rate: 7.15MHz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rate:6.3MHz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6.9MHz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10.03MHz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rate:8.8MHz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9.6MHz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9.44MHz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10.3MHz</w:t>
            </w:r>
          </w:p>
        </w:tc>
      </w:tr>
    </w:tbl>
    <w:p>
      <w:pPr>
        <w:spacing w:before="0" w:beforeLines="0" w:after="0" w:afterLines="0" w:line="360" w:lineRule="auto"/>
        <w:jc w:val="both"/>
        <w:rPr>
          <w:lang w:eastAsia="ja-JP"/>
        </w:rPr>
      </w:pPr>
      <w:r>
        <w:rPr>
          <w:rFonts w:hint="eastAsia"/>
          <w:lang w:val="en-US" w:eastAsia="zh-CN"/>
        </w:rPr>
        <w:t>From the table</w:t>
      </w:r>
      <w:r>
        <w:rPr>
          <w:rFonts w:eastAsia="MS Mincho"/>
          <w:lang w:eastAsia="ja-JP"/>
        </w:rPr>
        <w:t xml:space="preserve">, </w:t>
      </w:r>
      <w:r>
        <w:rPr>
          <w:rFonts w:hint="eastAsia"/>
          <w:lang w:val="en-US" w:eastAsia="zh-CN"/>
        </w:rPr>
        <w:t>we can know that if UE peak data rate reduction is an add-on technique to UE BB bandwidth reduction</w:t>
      </w:r>
      <w:r>
        <w:rPr>
          <w:rFonts w:eastAsia="MS Mincho"/>
          <w:lang w:eastAsia="ja-JP"/>
        </w:rPr>
        <w:t xml:space="preserve">, the </w:t>
      </w:r>
      <w:r>
        <w:rPr>
          <w:rFonts w:eastAsiaTheme="minorEastAsia"/>
          <w:lang w:eastAsia="zh-CN"/>
        </w:rPr>
        <w:t xml:space="preserve">constraint </w:t>
      </w:r>
      <w:r>
        <w:t>(</w:t>
      </w:r>
      <w:r>
        <w:rPr>
          <w:i/>
          <w:iCs/>
        </w:rPr>
        <w:t>v</w:t>
      </w:r>
      <w:r>
        <w:rPr>
          <w:i/>
          <w:iCs/>
          <w:vertAlign w:val="subscript"/>
        </w:rPr>
        <w:t>Layers</w:t>
      </w:r>
      <w:r>
        <w:t>·</w:t>
      </w:r>
      <w:r>
        <w:rPr>
          <w:i/>
          <w:iCs/>
        </w:rPr>
        <w:t>Q</w:t>
      </w:r>
      <w:r>
        <w:rPr>
          <w:i/>
          <w:iCs/>
          <w:vertAlign w:val="subscript"/>
        </w:rPr>
        <w:t>m</w:t>
      </w:r>
      <w:r>
        <w:t>·</w:t>
      </w:r>
      <w:r>
        <w:rPr>
          <w:i/>
          <w:iCs/>
        </w:rPr>
        <w:t>f</w:t>
      </w:r>
      <w:r>
        <w:t>) value can be relaxed to 3.</w:t>
      </w:r>
    </w:p>
    <w:p>
      <w:pPr>
        <w:spacing w:before="0" w:beforeLines="0" w:after="0" w:afterLines="0" w:line="360" w:lineRule="auto"/>
        <w:jc w:val="both"/>
      </w:pPr>
      <w:r>
        <w:rPr>
          <w:rFonts w:hint="eastAsia"/>
          <w:lang w:val="en-US" w:eastAsia="zh-CN"/>
        </w:rPr>
        <w:t>Similarly</w:t>
      </w:r>
      <w:r>
        <w:rPr>
          <w:rFonts w:eastAsia="MS Mincho"/>
          <w:lang w:eastAsia="ja-JP"/>
        </w:rPr>
        <w:t xml:space="preserve">, </w:t>
      </w:r>
      <w:r>
        <w:rPr>
          <w:rFonts w:hint="eastAsia" w:eastAsia="MS Mincho"/>
          <w:lang w:val="en-US" w:eastAsia="ja-JP"/>
        </w:rPr>
        <w:t>if UE peak data rate reduction is</w:t>
      </w:r>
      <w:r>
        <w:rPr>
          <w:rFonts w:eastAsia="MS Mincho"/>
          <w:lang w:eastAsia="ja-JP"/>
        </w:rPr>
        <w:t xml:space="preserve"> an </w:t>
      </w:r>
      <w:r>
        <w:rPr>
          <w:rFonts w:hint="eastAsia"/>
          <w:lang w:val="en-US" w:eastAsia="zh-CN"/>
        </w:rPr>
        <w:t>standalone</w:t>
      </w:r>
      <w:r>
        <w:rPr>
          <w:rFonts w:eastAsia="MS Mincho"/>
          <w:lang w:eastAsia="ja-JP"/>
        </w:rPr>
        <w:t xml:space="preserve"> technique, </w:t>
      </w:r>
      <w:r>
        <w:rPr>
          <w:rFonts w:hint="eastAsia"/>
          <w:lang w:val="en-US" w:eastAsia="zh-CN"/>
        </w:rPr>
        <w:t>t</w:t>
      </w:r>
      <w:r>
        <w:rPr>
          <w:rFonts w:eastAsia="MS Mincho"/>
          <w:lang w:eastAsia="ja-JP"/>
        </w:rPr>
        <w:t>he maximum RB allocation in columns 2~4 in Table 1</w:t>
      </w:r>
      <w:r>
        <w:rPr>
          <w:rFonts w:hint="eastAsia"/>
          <w:lang w:val="en-US" w:eastAsia="zh-CN"/>
        </w:rPr>
        <w:t xml:space="preserve"> can be increased to the number of PRBs corresponding to 20MHz. That is, the PRB is enlarged by a factor of 4 relative to the UE BB bandwidth reduction feature, so </w:t>
      </w:r>
      <w:r>
        <w:rPr>
          <w:rFonts w:eastAsia="MS Mincho"/>
          <w:lang w:eastAsia="ja-JP"/>
        </w:rPr>
        <w:t xml:space="preserve">the </w:t>
      </w:r>
      <w:r>
        <w:rPr>
          <w:rFonts w:eastAsiaTheme="minorEastAsia"/>
          <w:lang w:eastAsia="zh-CN"/>
        </w:rPr>
        <w:t xml:space="preserve">constraint </w:t>
      </w:r>
      <w:r>
        <w:t>(</w:t>
      </w:r>
      <w:r>
        <w:rPr>
          <w:i/>
          <w:iCs/>
        </w:rPr>
        <w:t>v</w:t>
      </w:r>
      <w:r>
        <w:rPr>
          <w:i/>
          <w:iCs/>
          <w:vertAlign w:val="subscript"/>
        </w:rPr>
        <w:t>Layers</w:t>
      </w:r>
      <w:r>
        <w:t>·</w:t>
      </w:r>
      <w:r>
        <w:rPr>
          <w:i/>
          <w:iCs/>
        </w:rPr>
        <w:t>Q</w:t>
      </w:r>
      <w:r>
        <w:rPr>
          <w:i/>
          <w:iCs/>
          <w:vertAlign w:val="subscript"/>
        </w:rPr>
        <w:t>m</w:t>
      </w:r>
      <w:r>
        <w:t>·</w:t>
      </w:r>
      <w:r>
        <w:rPr>
          <w:i/>
          <w:iCs/>
        </w:rPr>
        <w:t>f</w:t>
      </w:r>
      <w:r>
        <w:t xml:space="preserve">) value can be relaxed to </w:t>
      </w:r>
      <w:r>
        <w:rPr>
          <w:rFonts w:hint="eastAsia"/>
          <w:lang w:val="en-US" w:eastAsia="zh-CN"/>
        </w:rPr>
        <w:t>1</w:t>
      </w:r>
      <w:r>
        <w:t>.</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default"/>
          <w:b/>
          <w:sz w:val="21"/>
          <w:szCs w:val="22"/>
          <w:lang w:val="en-US" w:eastAsia="zh-CN"/>
        </w:rPr>
        <w:t>1</w:t>
      </w:r>
      <w:r>
        <w:rPr>
          <w:rFonts w:hint="eastAsia"/>
          <w:b/>
          <w:sz w:val="21"/>
          <w:szCs w:val="22"/>
          <w:lang w:val="en-US" w:eastAsia="zh-CN"/>
        </w:rPr>
        <w:t>.</w:t>
      </w:r>
    </w:p>
    <w:p>
      <w:pPr>
        <w:pStyle w:val="3"/>
        <w:spacing w:before="240" w:after="180" w:line="240" w:lineRule="auto"/>
        <w:rPr>
          <w:rFonts w:hint="eastAsia"/>
          <w:b w:val="0"/>
          <w:bCs w:val="0"/>
          <w:lang w:val="en-US" w:eastAsia="zh-CN"/>
        </w:rPr>
      </w:pPr>
      <w:r>
        <w:rPr>
          <w:rFonts w:hint="eastAsia"/>
          <w:b w:val="0"/>
          <w:bCs w:val="0"/>
          <w:lang w:val="en-US" w:eastAsia="zh-CN"/>
        </w:rPr>
        <w:t>The relationship between UE peak data rate reduction and UE BB bandwidth reduction</w:t>
      </w:r>
    </w:p>
    <w:p>
      <w:pPr>
        <w:spacing w:before="0" w:beforeLines="0" w:after="0" w:afterLines="0" w:line="360" w:lineRule="auto"/>
        <w:jc w:val="both"/>
        <w:rPr>
          <w:rFonts w:hint="eastAsia"/>
          <w:lang w:val="en-US" w:eastAsia="zh-CN"/>
        </w:rPr>
      </w:pPr>
      <w:r>
        <w:rPr>
          <w:rFonts w:hint="eastAsia"/>
          <w:lang w:val="en-US" w:eastAsia="zh-CN"/>
        </w:rPr>
        <w:t>According to the WI in RAN#98e meeting, there are two techniques to further reduce the UE complexity, one is to reduce the BB bandwidth, and the other is to reduce the UE peak rate. If UE peak rate reduction and UE BB bandwidth reduction are two independent parallel schemes, the requirement to define at most one R18 eRecap UE type as required in WI cannot be met. In addition, this could lead to market fragmentation, thereby limiting</w:t>
      </w:r>
      <w:bookmarkStart w:id="5" w:name="_GoBack"/>
      <w:bookmarkEnd w:id="5"/>
      <w:r>
        <w:rPr>
          <w:rFonts w:hint="eastAsia"/>
          <w:lang w:val="en-US" w:eastAsia="zh-CN"/>
        </w:rPr>
        <w:t xml:space="preserve"> limit the economies of scale advantages of the Rel-18 eRedCap UE. Therefore, UE peak rate reduction for UE should be limited with UE BB bandwidth reduction.</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5  It is recommended that UE peak data rate reduction for UE should be limited with UE BB bandwidth reduction.</w:t>
      </w:r>
    </w:p>
    <w:p>
      <w:pPr>
        <w:spacing w:before="0" w:beforeLines="0" w:after="0" w:afterLines="0" w:line="360" w:lineRule="auto"/>
        <w:jc w:val="both"/>
        <w:rPr>
          <w:rFonts w:hint="default"/>
          <w:b/>
          <w:sz w:val="21"/>
          <w:szCs w:val="22"/>
          <w:lang w:val="en-US" w:eastAsia="zh-CN"/>
        </w:rPr>
      </w:pP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0" w:after="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 proposals are made.</w:t>
      </w:r>
    </w:p>
    <w:p>
      <w:pPr>
        <w:spacing w:before="0" w:beforeLines="0" w:after="0" w:afterLines="0" w:line="360" w:lineRule="auto"/>
        <w:jc w:val="both"/>
        <w:rPr>
          <w:rFonts w:hint="eastAsia"/>
          <w:b/>
          <w:szCs w:val="22"/>
          <w:lang w:val="en-US" w:eastAsia="zh-CN"/>
        </w:rPr>
      </w:pPr>
      <w:r>
        <w:rPr>
          <w:rFonts w:hint="default"/>
          <w:b/>
          <w:szCs w:val="22"/>
          <w:lang w:val="en-US" w:eastAsia="zh-CN"/>
        </w:rPr>
        <w:t xml:space="preserve">Proposal </w:t>
      </w:r>
      <w:r>
        <w:rPr>
          <w:rFonts w:hint="eastAsia"/>
          <w:b/>
          <w:szCs w:val="22"/>
          <w:lang w:val="en-US" w:eastAsia="zh-CN"/>
        </w:rPr>
        <w:t>1  The maximum number of PRBs in Option 3 is more preferred for PUSCH and PDSCH.</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2  It is recommended to support </w:t>
      </w:r>
      <w:r>
        <w:rPr>
          <w:rFonts w:hint="eastAsia"/>
          <w:b/>
          <w:sz w:val="21"/>
          <w:szCs w:val="22"/>
          <w:lang w:val="en-US" w:eastAsia="ja-JP"/>
        </w:rPr>
        <w:t>a separate early indication</w:t>
      </w:r>
      <w:r>
        <w:rPr>
          <w:rFonts w:hint="eastAsia"/>
          <w:b/>
          <w:sz w:val="21"/>
          <w:szCs w:val="22"/>
          <w:lang w:val="en-US" w:eastAsia="zh-CN"/>
        </w:rPr>
        <w:t>.</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default"/>
          <w:b/>
          <w:sz w:val="21"/>
          <w:szCs w:val="22"/>
          <w:lang w:val="en-US" w:eastAsia="zh-CN"/>
        </w:rPr>
        <w:t>1</w:t>
      </w:r>
      <w:r>
        <w:rPr>
          <w:rFonts w:hint="eastAsia"/>
          <w:b/>
          <w:sz w:val="21"/>
          <w:szCs w:val="22"/>
          <w:lang w:val="en-US" w:eastAsia="zh-CN"/>
        </w:rPr>
        <w:t>.</w:t>
      </w:r>
    </w:p>
    <w:p>
      <w:pPr>
        <w:spacing w:before="0" w:beforeLines="0" w:after="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5  It is recommended that UE peak data rate reduction for UE should be limited with UE BB bandwidth reduction.</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8"/>
        </w:numPr>
        <w:spacing w:before="0" w:beforeLines="0" w:afterLines="0" w:line="360" w:lineRule="auto"/>
        <w:ind w:leftChars="0"/>
        <w:rPr>
          <w:rFonts w:ascii="Times New Roman" w:hAnsi="Times New Roman"/>
          <w:lang w:val="zh-CN" w:eastAsia="zh-CN"/>
        </w:rPr>
      </w:pPr>
      <w:r>
        <w:rPr>
          <w:rFonts w:hint="eastAsia" w:ascii="Times New Roman" w:hAnsi="Times New Roman" w:eastAsia="宋体"/>
          <w:sz w:val="20"/>
          <w:lang w:val="en-US" w:eastAsia="zh-CN"/>
        </w:rPr>
        <w:t xml:space="preserve">RP-223544, </w:t>
      </w:r>
      <w:r>
        <w:rPr>
          <w:rFonts w:hint="default" w:ascii="Times New Roman" w:hAnsi="Times New Roman" w:eastAsia="宋体"/>
          <w:sz w:val="20"/>
          <w:lang w:val="en-US" w:eastAsia="zh-CN"/>
        </w:rPr>
        <w:t>“Revised WID on Enhanced support of reduced capability NR devices”</w:t>
      </w:r>
      <w:r>
        <w:rPr>
          <w:rFonts w:hint="eastAsia" w:ascii="Times New Roman" w:hAnsi="Times New Roman" w:eastAsia="宋体"/>
          <w:sz w:val="20"/>
          <w:lang w:val="en-US" w:eastAsia="zh-CN"/>
        </w:rPr>
        <w:t xml:space="preserve"> , RAN#98e</w:t>
      </w:r>
    </w:p>
    <w:p>
      <w:pPr>
        <w:pStyle w:val="22"/>
        <w:numPr>
          <w:ilvl w:val="0"/>
          <w:numId w:val="8"/>
        </w:numPr>
        <w:spacing w:before="0" w:beforeLines="0" w:afterLines="0" w:line="360" w:lineRule="auto"/>
        <w:ind w:left="0" w:leftChars="0" w:firstLine="0"/>
        <w:rPr>
          <w:rFonts w:ascii="Times New Roman" w:hAnsi="Times New Roman"/>
          <w:lang w:val="en-US" w:eastAsia="zh-CN"/>
        </w:rPr>
      </w:pPr>
      <w:r>
        <w:rPr>
          <w:rFonts w:ascii="Times New Roman" w:hAnsi="Times New Roman"/>
          <w:lang w:val="zh-CN" w:eastAsia="zh-CN"/>
        </w:rPr>
        <w:t>Draft Report of 3GPP TSG RAN WG1 #111 v0.2.0</w:t>
      </w:r>
    </w:p>
    <w:p>
      <w:pPr>
        <w:spacing w:before="0" w:beforeLines="0" w:after="0" w:afterLines="0" w:line="360" w:lineRule="auto"/>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9B6DA"/>
    <w:multiLevelType w:val="singleLevel"/>
    <w:tmpl w:val="8659B6DA"/>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79D5E1B"/>
    <w:multiLevelType w:val="multilevel"/>
    <w:tmpl w:val="279D5E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489D7B2"/>
    <w:multiLevelType w:val="singleLevel"/>
    <w:tmpl w:val="7489D7B2"/>
    <w:lvl w:ilvl="0" w:tentative="0">
      <w:start w:val="1"/>
      <w:numFmt w:val="bullet"/>
      <w:lvlText w:val=""/>
      <w:lvlJc w:val="left"/>
      <w:pPr>
        <w:tabs>
          <w:tab w:val="left" w:pos="420"/>
        </w:tabs>
        <w:ind w:left="840" w:hanging="420"/>
      </w:pPr>
      <w:rPr>
        <w:rFonts w:hint="default" w:ascii="Wingdings" w:hAnsi="Wingdings"/>
      </w:rPr>
    </w:lvl>
  </w:abstractNum>
  <w:abstractNum w:abstractNumId="5">
    <w:nsid w:val="77B12593"/>
    <w:multiLevelType w:val="multilevel"/>
    <w:tmpl w:val="77B12593"/>
    <w:lvl w:ilvl="0" w:tentative="0">
      <w:start w:val="1"/>
      <w:numFmt w:val="bullet"/>
      <w:lvlText w:val=""/>
      <w:lvlJc w:val="left"/>
      <w:pPr>
        <w:tabs>
          <w:tab w:val="left" w:pos="-420"/>
        </w:tabs>
        <w:ind w:left="300" w:hanging="360"/>
      </w:pPr>
      <w:rPr>
        <w:rFonts w:hint="default" w:ascii="Symbol" w:hAnsi="Symbol"/>
      </w:rPr>
    </w:lvl>
    <w:lvl w:ilvl="1" w:tentative="0">
      <w:start w:val="0"/>
      <w:numFmt w:val="bullet"/>
      <w:lvlText w:val="○"/>
      <w:lvlJc w:val="left"/>
      <w:pPr>
        <w:tabs>
          <w:tab w:val="left" w:pos="-420"/>
        </w:tabs>
        <w:ind w:left="1020" w:hanging="360"/>
      </w:pPr>
      <w:rPr>
        <w:rFonts w:hint="eastAsia" w:ascii="宋体" w:hAnsi="宋体" w:eastAsia="宋体" w:cs="Times New Roman"/>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79BD236E"/>
    <w:multiLevelType w:val="multilevel"/>
    <w:tmpl w:val="79BD23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7E8055F5"/>
    <w:multiLevelType w:val="multilevel"/>
    <w:tmpl w:val="7E8055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5"/>
  </w:num>
  <w:num w:numId="3">
    <w:abstractNumId w:val="4"/>
  </w:num>
  <w:num w:numId="4">
    <w:abstractNumId w:val="0"/>
  </w:num>
  <w:num w:numId="5">
    <w:abstractNumId w:val="6"/>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D0754F"/>
    <w:rsid w:val="00D25C57"/>
    <w:rsid w:val="00E658FD"/>
    <w:rsid w:val="01081B3E"/>
    <w:rsid w:val="01914021"/>
    <w:rsid w:val="01A5084E"/>
    <w:rsid w:val="020E6E6E"/>
    <w:rsid w:val="02366D2D"/>
    <w:rsid w:val="02821545"/>
    <w:rsid w:val="02BA26ED"/>
    <w:rsid w:val="03292219"/>
    <w:rsid w:val="032D0C33"/>
    <w:rsid w:val="03333EBB"/>
    <w:rsid w:val="03600D99"/>
    <w:rsid w:val="039242F7"/>
    <w:rsid w:val="03C91DEF"/>
    <w:rsid w:val="043D1681"/>
    <w:rsid w:val="046105A7"/>
    <w:rsid w:val="048C0506"/>
    <w:rsid w:val="050B2FD3"/>
    <w:rsid w:val="057B238D"/>
    <w:rsid w:val="05BE0571"/>
    <w:rsid w:val="05F11FCC"/>
    <w:rsid w:val="062D641E"/>
    <w:rsid w:val="06467E10"/>
    <w:rsid w:val="06631006"/>
    <w:rsid w:val="068B669D"/>
    <w:rsid w:val="06963DDF"/>
    <w:rsid w:val="06B22BCB"/>
    <w:rsid w:val="06D76DC6"/>
    <w:rsid w:val="06DB01C7"/>
    <w:rsid w:val="06FD7C23"/>
    <w:rsid w:val="07412138"/>
    <w:rsid w:val="075014AD"/>
    <w:rsid w:val="079743E7"/>
    <w:rsid w:val="07A03B2F"/>
    <w:rsid w:val="07DE508C"/>
    <w:rsid w:val="083126FA"/>
    <w:rsid w:val="08575FBE"/>
    <w:rsid w:val="09386CEF"/>
    <w:rsid w:val="095E2632"/>
    <w:rsid w:val="09700C89"/>
    <w:rsid w:val="09891C4A"/>
    <w:rsid w:val="09C11875"/>
    <w:rsid w:val="0A940E9D"/>
    <w:rsid w:val="0A944117"/>
    <w:rsid w:val="0AB5350C"/>
    <w:rsid w:val="0AC8754E"/>
    <w:rsid w:val="0AD04CB6"/>
    <w:rsid w:val="0B4F2D08"/>
    <w:rsid w:val="0B5645CC"/>
    <w:rsid w:val="0B5A0448"/>
    <w:rsid w:val="0B7E082A"/>
    <w:rsid w:val="0C201AD9"/>
    <w:rsid w:val="0C6B3E4C"/>
    <w:rsid w:val="0C7A3E69"/>
    <w:rsid w:val="0CD41A6D"/>
    <w:rsid w:val="0D8008CF"/>
    <w:rsid w:val="0D9F3231"/>
    <w:rsid w:val="0DFE15A3"/>
    <w:rsid w:val="0E2C3933"/>
    <w:rsid w:val="0E4D44EF"/>
    <w:rsid w:val="0EF85813"/>
    <w:rsid w:val="0F0B0B79"/>
    <w:rsid w:val="0F396010"/>
    <w:rsid w:val="0F524340"/>
    <w:rsid w:val="0FBB3C35"/>
    <w:rsid w:val="0FD746B6"/>
    <w:rsid w:val="0FD94151"/>
    <w:rsid w:val="0FF80ADD"/>
    <w:rsid w:val="107F6857"/>
    <w:rsid w:val="10931CC7"/>
    <w:rsid w:val="10C54ADC"/>
    <w:rsid w:val="10F51AD3"/>
    <w:rsid w:val="123D56D9"/>
    <w:rsid w:val="12960691"/>
    <w:rsid w:val="12A365A3"/>
    <w:rsid w:val="12A44024"/>
    <w:rsid w:val="131D046B"/>
    <w:rsid w:val="135C7F4F"/>
    <w:rsid w:val="139F60D9"/>
    <w:rsid w:val="13A67F63"/>
    <w:rsid w:val="13F554B1"/>
    <w:rsid w:val="14327D73"/>
    <w:rsid w:val="145C6F22"/>
    <w:rsid w:val="14AC682E"/>
    <w:rsid w:val="14C53B07"/>
    <w:rsid w:val="14F05DE7"/>
    <w:rsid w:val="15682461"/>
    <w:rsid w:val="15AD3A82"/>
    <w:rsid w:val="15BF12E4"/>
    <w:rsid w:val="15CE7E95"/>
    <w:rsid w:val="15E82AFC"/>
    <w:rsid w:val="16501227"/>
    <w:rsid w:val="170B1239"/>
    <w:rsid w:val="17326BFF"/>
    <w:rsid w:val="173340E6"/>
    <w:rsid w:val="17846D8A"/>
    <w:rsid w:val="17EF5450"/>
    <w:rsid w:val="183D7BCD"/>
    <w:rsid w:val="183E7952"/>
    <w:rsid w:val="187C1BBC"/>
    <w:rsid w:val="18B21AD6"/>
    <w:rsid w:val="18EA08C6"/>
    <w:rsid w:val="19286D8E"/>
    <w:rsid w:val="19B6063F"/>
    <w:rsid w:val="19F743DF"/>
    <w:rsid w:val="1A682661"/>
    <w:rsid w:val="1A942215"/>
    <w:rsid w:val="1AE945CD"/>
    <w:rsid w:val="1BED197A"/>
    <w:rsid w:val="1C1823A7"/>
    <w:rsid w:val="1C4A27F6"/>
    <w:rsid w:val="1D176197"/>
    <w:rsid w:val="1D3A2CBF"/>
    <w:rsid w:val="1D4E0DE6"/>
    <w:rsid w:val="1D5F3C1E"/>
    <w:rsid w:val="1D786CA0"/>
    <w:rsid w:val="1EF8454C"/>
    <w:rsid w:val="1F0868CC"/>
    <w:rsid w:val="1F1402D1"/>
    <w:rsid w:val="1F713F17"/>
    <w:rsid w:val="1FBF7ED9"/>
    <w:rsid w:val="20273EC1"/>
    <w:rsid w:val="203E1579"/>
    <w:rsid w:val="20486C30"/>
    <w:rsid w:val="20DA5585"/>
    <w:rsid w:val="20DC4847"/>
    <w:rsid w:val="213972AA"/>
    <w:rsid w:val="21486D50"/>
    <w:rsid w:val="21A835A0"/>
    <w:rsid w:val="21C71C6C"/>
    <w:rsid w:val="21F51F69"/>
    <w:rsid w:val="224131C1"/>
    <w:rsid w:val="226804C4"/>
    <w:rsid w:val="22B456FE"/>
    <w:rsid w:val="22EE7297"/>
    <w:rsid w:val="22FD69AE"/>
    <w:rsid w:val="230B5C6A"/>
    <w:rsid w:val="23543698"/>
    <w:rsid w:val="2378316C"/>
    <w:rsid w:val="23AB02F8"/>
    <w:rsid w:val="24222D39"/>
    <w:rsid w:val="24770AA7"/>
    <w:rsid w:val="24805C6F"/>
    <w:rsid w:val="249C66CB"/>
    <w:rsid w:val="253731E2"/>
    <w:rsid w:val="259F0F36"/>
    <w:rsid w:val="25BF7538"/>
    <w:rsid w:val="25E25F7B"/>
    <w:rsid w:val="25FA3B44"/>
    <w:rsid w:val="26014383"/>
    <w:rsid w:val="26025AC5"/>
    <w:rsid w:val="264E29E7"/>
    <w:rsid w:val="265817DB"/>
    <w:rsid w:val="26685E4E"/>
    <w:rsid w:val="26710598"/>
    <w:rsid w:val="26A420F1"/>
    <w:rsid w:val="26D50A2C"/>
    <w:rsid w:val="27CE415D"/>
    <w:rsid w:val="283F7913"/>
    <w:rsid w:val="286F3CE6"/>
    <w:rsid w:val="28C65A54"/>
    <w:rsid w:val="29156672"/>
    <w:rsid w:val="29AA010A"/>
    <w:rsid w:val="2A5218FD"/>
    <w:rsid w:val="2AEB718E"/>
    <w:rsid w:val="2B15743C"/>
    <w:rsid w:val="2B20324F"/>
    <w:rsid w:val="2C0525C8"/>
    <w:rsid w:val="2C153FA1"/>
    <w:rsid w:val="2C1A370D"/>
    <w:rsid w:val="2C9C42D9"/>
    <w:rsid w:val="2CC04EFA"/>
    <w:rsid w:val="2D312F7F"/>
    <w:rsid w:val="2D855F3C"/>
    <w:rsid w:val="2EE4137C"/>
    <w:rsid w:val="303F6316"/>
    <w:rsid w:val="30A72E79"/>
    <w:rsid w:val="30C920B8"/>
    <w:rsid w:val="30F36EDD"/>
    <w:rsid w:val="31182819"/>
    <w:rsid w:val="315A7B86"/>
    <w:rsid w:val="31696F75"/>
    <w:rsid w:val="31E806EF"/>
    <w:rsid w:val="32395E90"/>
    <w:rsid w:val="32902DEB"/>
    <w:rsid w:val="329A7A4B"/>
    <w:rsid w:val="3300373A"/>
    <w:rsid w:val="334B2535"/>
    <w:rsid w:val="33D577B5"/>
    <w:rsid w:val="34712317"/>
    <w:rsid w:val="34D54F15"/>
    <w:rsid w:val="355F746B"/>
    <w:rsid w:val="35B567A6"/>
    <w:rsid w:val="35B873B1"/>
    <w:rsid w:val="3618394C"/>
    <w:rsid w:val="364C2EB6"/>
    <w:rsid w:val="36665823"/>
    <w:rsid w:val="36852913"/>
    <w:rsid w:val="37467121"/>
    <w:rsid w:val="37972EC4"/>
    <w:rsid w:val="379B18CA"/>
    <w:rsid w:val="37A2030E"/>
    <w:rsid w:val="38CB386D"/>
    <w:rsid w:val="38D146E8"/>
    <w:rsid w:val="39003390"/>
    <w:rsid w:val="39456083"/>
    <w:rsid w:val="39B70940"/>
    <w:rsid w:val="39ED44B5"/>
    <w:rsid w:val="3B296135"/>
    <w:rsid w:val="3B605478"/>
    <w:rsid w:val="3B702D5E"/>
    <w:rsid w:val="3BB75E87"/>
    <w:rsid w:val="3BD94DA7"/>
    <w:rsid w:val="3BDB6AF8"/>
    <w:rsid w:val="3C077299"/>
    <w:rsid w:val="3C6B33AC"/>
    <w:rsid w:val="3CBF66BA"/>
    <w:rsid w:val="3CF31043"/>
    <w:rsid w:val="3D045D81"/>
    <w:rsid w:val="3D0955CD"/>
    <w:rsid w:val="3D8B16BA"/>
    <w:rsid w:val="3DD3111B"/>
    <w:rsid w:val="3E5F4689"/>
    <w:rsid w:val="3F3570C3"/>
    <w:rsid w:val="3FC12F51"/>
    <w:rsid w:val="404104F9"/>
    <w:rsid w:val="407F5DE0"/>
    <w:rsid w:val="409D5390"/>
    <w:rsid w:val="40A53650"/>
    <w:rsid w:val="41600151"/>
    <w:rsid w:val="41603818"/>
    <w:rsid w:val="41B53228"/>
    <w:rsid w:val="42A81EAB"/>
    <w:rsid w:val="42E5654F"/>
    <w:rsid w:val="42E62A04"/>
    <w:rsid w:val="42F3528E"/>
    <w:rsid w:val="430A058D"/>
    <w:rsid w:val="43254DBA"/>
    <w:rsid w:val="43993D8E"/>
    <w:rsid w:val="43E56B7B"/>
    <w:rsid w:val="449700C1"/>
    <w:rsid w:val="44DF4AD3"/>
    <w:rsid w:val="45643FA0"/>
    <w:rsid w:val="45806EC3"/>
    <w:rsid w:val="458A5B63"/>
    <w:rsid w:val="46686C9E"/>
    <w:rsid w:val="46CC2197"/>
    <w:rsid w:val="47341CB9"/>
    <w:rsid w:val="476C4C8D"/>
    <w:rsid w:val="478F75F0"/>
    <w:rsid w:val="47CA5A26"/>
    <w:rsid w:val="48066B36"/>
    <w:rsid w:val="488E5A9B"/>
    <w:rsid w:val="48AF1F07"/>
    <w:rsid w:val="48B225B7"/>
    <w:rsid w:val="48B64E60"/>
    <w:rsid w:val="48F12CEE"/>
    <w:rsid w:val="4938000E"/>
    <w:rsid w:val="498558F4"/>
    <w:rsid w:val="4A523E05"/>
    <w:rsid w:val="4A603492"/>
    <w:rsid w:val="4A6F7A71"/>
    <w:rsid w:val="4ABC3BAC"/>
    <w:rsid w:val="4B453C14"/>
    <w:rsid w:val="4B727B1B"/>
    <w:rsid w:val="4BB46FD1"/>
    <w:rsid w:val="4BB54D88"/>
    <w:rsid w:val="4D121D34"/>
    <w:rsid w:val="4D7A3398"/>
    <w:rsid w:val="4E000105"/>
    <w:rsid w:val="4E897B66"/>
    <w:rsid w:val="4EE53BFB"/>
    <w:rsid w:val="4EEF51A5"/>
    <w:rsid w:val="4EF33F37"/>
    <w:rsid w:val="4F1254C3"/>
    <w:rsid w:val="4F29663B"/>
    <w:rsid w:val="4F2F631B"/>
    <w:rsid w:val="4F3C0010"/>
    <w:rsid w:val="4F4A0C44"/>
    <w:rsid w:val="4F687927"/>
    <w:rsid w:val="4F706F0D"/>
    <w:rsid w:val="4F932A9A"/>
    <w:rsid w:val="508D0734"/>
    <w:rsid w:val="508F4388"/>
    <w:rsid w:val="50CE6F9F"/>
    <w:rsid w:val="51191C31"/>
    <w:rsid w:val="517D50F1"/>
    <w:rsid w:val="51BA56A1"/>
    <w:rsid w:val="51D51D50"/>
    <w:rsid w:val="525E29B5"/>
    <w:rsid w:val="528A181C"/>
    <w:rsid w:val="52FF50A3"/>
    <w:rsid w:val="531E1B16"/>
    <w:rsid w:val="535B7AFB"/>
    <w:rsid w:val="54322216"/>
    <w:rsid w:val="544A7794"/>
    <w:rsid w:val="544F0576"/>
    <w:rsid w:val="54766E20"/>
    <w:rsid w:val="547748A2"/>
    <w:rsid w:val="54C923B1"/>
    <w:rsid w:val="551054EB"/>
    <w:rsid w:val="553C3366"/>
    <w:rsid w:val="559B138A"/>
    <w:rsid w:val="55E404D5"/>
    <w:rsid w:val="560A4E69"/>
    <w:rsid w:val="56132672"/>
    <w:rsid w:val="56CE33F3"/>
    <w:rsid w:val="56E865F9"/>
    <w:rsid w:val="575514CD"/>
    <w:rsid w:val="57577640"/>
    <w:rsid w:val="57F21DC7"/>
    <w:rsid w:val="58036524"/>
    <w:rsid w:val="586E14BF"/>
    <w:rsid w:val="58AD7D6B"/>
    <w:rsid w:val="595B14B9"/>
    <w:rsid w:val="599F5B19"/>
    <w:rsid w:val="5ABC3E58"/>
    <w:rsid w:val="5AE625AD"/>
    <w:rsid w:val="5B397E38"/>
    <w:rsid w:val="5C0813BB"/>
    <w:rsid w:val="5C1839E9"/>
    <w:rsid w:val="5CE31FB3"/>
    <w:rsid w:val="5D702D81"/>
    <w:rsid w:val="5E5830B6"/>
    <w:rsid w:val="5E9033B3"/>
    <w:rsid w:val="5ECA6000"/>
    <w:rsid w:val="5EE15B23"/>
    <w:rsid w:val="5F1E4324"/>
    <w:rsid w:val="5F8D2114"/>
    <w:rsid w:val="5F946831"/>
    <w:rsid w:val="5FA34174"/>
    <w:rsid w:val="606737AA"/>
    <w:rsid w:val="61161572"/>
    <w:rsid w:val="61A907DA"/>
    <w:rsid w:val="61BE4069"/>
    <w:rsid w:val="61C21F70"/>
    <w:rsid w:val="61CB5D59"/>
    <w:rsid w:val="61FC0E51"/>
    <w:rsid w:val="625957CD"/>
    <w:rsid w:val="62C87348"/>
    <w:rsid w:val="62EF34B9"/>
    <w:rsid w:val="62F95EDE"/>
    <w:rsid w:val="62FF1157"/>
    <w:rsid w:val="634001E3"/>
    <w:rsid w:val="63E31B13"/>
    <w:rsid w:val="644C405D"/>
    <w:rsid w:val="64B0665A"/>
    <w:rsid w:val="65B87C60"/>
    <w:rsid w:val="65CC54F7"/>
    <w:rsid w:val="65DA25C0"/>
    <w:rsid w:val="6626064F"/>
    <w:rsid w:val="663549B3"/>
    <w:rsid w:val="66AE6C06"/>
    <w:rsid w:val="66D4616C"/>
    <w:rsid w:val="67D5446A"/>
    <w:rsid w:val="68012776"/>
    <w:rsid w:val="68073EC9"/>
    <w:rsid w:val="686D205F"/>
    <w:rsid w:val="68E1201D"/>
    <w:rsid w:val="699A657E"/>
    <w:rsid w:val="69CE2026"/>
    <w:rsid w:val="6A03709F"/>
    <w:rsid w:val="6A921170"/>
    <w:rsid w:val="6AAD28D9"/>
    <w:rsid w:val="6B02197F"/>
    <w:rsid w:val="6B20701A"/>
    <w:rsid w:val="6C397FC7"/>
    <w:rsid w:val="6CD81C1E"/>
    <w:rsid w:val="6CE978CE"/>
    <w:rsid w:val="6D270AA3"/>
    <w:rsid w:val="6D561817"/>
    <w:rsid w:val="6DA24B6A"/>
    <w:rsid w:val="6E360C61"/>
    <w:rsid w:val="6E7716CA"/>
    <w:rsid w:val="6E8A0C0F"/>
    <w:rsid w:val="6E8C0BE2"/>
    <w:rsid w:val="6EB26818"/>
    <w:rsid w:val="6EB73A9A"/>
    <w:rsid w:val="6EB766A5"/>
    <w:rsid w:val="6EDA6A7D"/>
    <w:rsid w:val="6F165D50"/>
    <w:rsid w:val="70D04FAA"/>
    <w:rsid w:val="71085217"/>
    <w:rsid w:val="712C7C8C"/>
    <w:rsid w:val="71487ACE"/>
    <w:rsid w:val="73D24415"/>
    <w:rsid w:val="7455116B"/>
    <w:rsid w:val="745F6C7C"/>
    <w:rsid w:val="74653984"/>
    <w:rsid w:val="74A55024"/>
    <w:rsid w:val="750072B4"/>
    <w:rsid w:val="751167ED"/>
    <w:rsid w:val="76732C9D"/>
    <w:rsid w:val="769F2D64"/>
    <w:rsid w:val="7732281D"/>
    <w:rsid w:val="778F795D"/>
    <w:rsid w:val="77E524BA"/>
    <w:rsid w:val="7805161F"/>
    <w:rsid w:val="78A56E7C"/>
    <w:rsid w:val="78D366C6"/>
    <w:rsid w:val="78EA1B6E"/>
    <w:rsid w:val="7961146B"/>
    <w:rsid w:val="798B53DB"/>
    <w:rsid w:val="79C23DD0"/>
    <w:rsid w:val="79E6728C"/>
    <w:rsid w:val="79EE5F19"/>
    <w:rsid w:val="7A442306"/>
    <w:rsid w:val="7A83640D"/>
    <w:rsid w:val="7B315C9C"/>
    <w:rsid w:val="7B585E3C"/>
    <w:rsid w:val="7B7E06C4"/>
    <w:rsid w:val="7B9052C5"/>
    <w:rsid w:val="7BC703CB"/>
    <w:rsid w:val="7BFC5DC1"/>
    <w:rsid w:val="7C140848"/>
    <w:rsid w:val="7C2524E2"/>
    <w:rsid w:val="7C585A30"/>
    <w:rsid w:val="7C6159BC"/>
    <w:rsid w:val="7C7E29CD"/>
    <w:rsid w:val="7C815CBD"/>
    <w:rsid w:val="7C9877BF"/>
    <w:rsid w:val="7D4F649D"/>
    <w:rsid w:val="7D564C1D"/>
    <w:rsid w:val="7DC616C1"/>
    <w:rsid w:val="7E582255"/>
    <w:rsid w:val="7EA02EFE"/>
    <w:rsid w:val="7EB738F3"/>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8">
    <w:name w:val="Table Grid"/>
    <w:basedOn w:val="17"/>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7"/>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3"/>
    <w:qFormat/>
    <w:uiPriority w:val="0"/>
  </w:style>
  <w:style w:type="paragraph" w:customStyle="1" w:styleId="31">
    <w:name w:val="NO"/>
    <w:basedOn w:val="1"/>
    <w:qFormat/>
    <w:uiPriority w:val="0"/>
    <w:pPr>
      <w:keepLines/>
      <w:ind w:left="1135" w:hanging="851"/>
    </w:pPr>
  </w:style>
  <w:style w:type="character" w:customStyle="1" w:styleId="32">
    <w:name w:val="fontstyle01"/>
    <w:basedOn w:val="19"/>
    <w:qFormat/>
    <w:uiPriority w:val="0"/>
    <w:rPr>
      <w:rFonts w:ascii="TimesNewRomanPS-ItalicMT" w:hAnsi="TimesNewRomanPS-ItalicMT" w:eastAsia="TimesNewRomanPS-ItalicMT" w:cs="TimesNewRomanPS-ItalicMT"/>
      <w:i/>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2</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2023-02-17T03:32:14Z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